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Layout w:type="fixed"/>
        <w:tblW w:w="0" w:type="auto"/>
        <w:tblLook w:val="04A0"/>
      </w:tblPr>
      <w:tblGrid>
        <w:gridCol w:w="3767"/>
        <w:gridCol w:w="2297"/>
        <w:gridCol w:w="1365"/>
        <w:gridCol w:w="184"/>
        <w:gridCol w:w="197"/>
        <w:gridCol w:w="2205"/>
        <w:gridCol w:w="1706"/>
      </w:tblGrid>
      <w:tr>
        <w:tc>
          <w:tcPr>
            <w:tcW w:w="3767" w:type="dxa"/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b/>
                <w:sz w:val="22"/>
                <w:szCs w:val="22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4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9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3911" w:type="dxa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2"/>
                <w:szCs w:val="12"/>
              </w:rPr>
              <w:t>Отчет сформирован в программе «Управление домом»,</w:t>
              <w:br/>
              <w:t>
разработчик ООО «Центр ИТ» www.it-cit.ru</w:t>
            </w:r>
          </w:p>
        </w:tc>
      </w:tr>
      <w:tr>
        <w:tc>
          <w:tcPr>
            <w:tcW w:w="11721" w:type="dxa"/>
            <w:vMerge w:val="restart"/>
            <w:gridSpan w:val="7"/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b/>
                <w:sz w:val="22"/>
                <w:szCs w:val="22"/>
              </w:rPr>
              <w:t>ООО "УК "СЕРВИС-СТК"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22"/>
                <w:szCs w:val="22"/>
              </w:rPr>
              <w:t>ОТЧЕТ ПО СОДЕРЖАНИЮ ЖИЛОГО/НЕЖИЛОГО ПОМЕЩЕНИЯ</w:t>
            </w:r>
          </w:p>
        </w:tc>
      </w:tr>
      <w:tr>
        <w:tc>
          <w:tcPr>
            <w:tcW w:w="12666" w:type="dxa"/>
            <w:gridSpan w:val="8"/>
            <w:shd w:val="clear" w:color="FFFFFF" w:fill="auto"/>
            <w:textDirection w:val="lrTb"/>
            <w:vAlign w:val="bottom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22"/>
                <w:szCs w:val="22"/>
              </w:rPr>
              <w:t>Адрес: РАДИЩЕВА 02/1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Период: Ноябрь 2016 г.      Оплачиваемая площадь: 3 282,7 кв.м.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7429" w:type="dxa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НАКОПИТЕЛЬНЫЙ СЧЕТ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/>
            </w:r>
          </w:p>
        </w:tc>
        <w:tc>
          <w:tcPr>
            <w:tcW w:w="4108" w:type="dxa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ПЛАТЕЖИ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Входящий баланс на 01.11.2016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-82 310,71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Долг на 01.11.2016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-87 956,98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ind w:left="80"/>
              <w:jc w:val="left"/>
            </w:pPr>
            <w:r>
              <w:rPr>
                <w:rFonts w:ascii="Arial" w:hAnsi="Arial"/>
                <w:sz w:val="18"/>
                <w:szCs w:val="18"/>
              </w:rPr>
              <w:t>Сумма поступлений на содержание жил./нежил. помещения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47 616,66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ind w:left="80"/>
              <w:jc w:val="left"/>
            </w:pPr>
            <w:r>
              <w:rPr>
                <w:rFonts w:ascii="Arial" w:hAnsi="Arial"/>
                <w:sz w:val="18"/>
                <w:szCs w:val="18"/>
              </w:rPr>
              <w:t>Дополнительный доход (использование общего имущества)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630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Начислено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-44 532,6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на обслуживание МКД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-25 198,01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Прочие расходы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-108,9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Поступило 106,93%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47 616,66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на управление МКД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-4 450,41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left w:val="single" w:sz="5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left w:val="single" w:sz="5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Исходящий баланс на 30.11.2016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-63 821,37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Долг на 30.11.2016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-84 872,92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Расходы на обслуживание МКД</w:t>
            </w:r>
          </w:p>
        </w:tc>
      </w:tr>
      <w:tr>
        <w:trPr>
          <w:trHeight w:val="75" w:hRule="exact"/>
        </w:trP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Обслуживание ПУ(Витра Плюс)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300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Техническое обслуживание конструктивных элементов и инженерного оборудования(СЕРВИС ПЛЮС)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7 952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Услуги паспортной службы(ЕИРКЦ)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539,97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Информационное и консультационное обслуживание(ЕИРКЦ)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960,65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Обслуживание ПУ(Водоканал)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449,56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Услуги по вывозу и захоронению ТБО(Единая Городская Служба ТБО)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3 891,68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Услуги банка(Система город)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1 533,5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Аварийное обслуживание(ТехБийск)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1 582,36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Благоустройство и обеспечение санитарного состояния жилых зданий и придомовой территории(СЕРВИС ПЛЮС)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6 205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Налоги(Налоги)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700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Тех. обсл. внутридомового газопровода за 2016г.(Бийскмежрайгаз)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1 083,29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Итого расходы на обслуживание мкд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25 198,01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Прочие расходы</w:t>
            </w:r>
          </w:p>
        </w:tc>
      </w:tr>
      <w:tr>
        <w:trPr>
          <w:trHeight w:val="75" w:hRule="exact"/>
        </w:trP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ЭС Ремонт замена лампочек (материальные расходы)( .)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14,4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Материальные расходы (ремонт отопления) под кв. 53( .)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94,5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Итого прочие расходы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108,9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Расходы на управление МКД</w:t>
            </w:r>
          </w:p>
        </w:tc>
      </w:tr>
      <w:tr>
        <w:trPr>
          <w:trHeight w:val="75" w:hRule="exact"/>
        </w:trP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Услуги управления МКД("УК "СЕРВИС-СТК")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3 939,24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Налоги(Налоги)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511,17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Итого расходы на управление мкд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4 450,41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22"/>
                <w:szCs w:val="22"/>
              </w:rPr>
              <w:t>ОТЧЕТ ПО ЦЕЛЕВЫМ НУЖДАМ</w:t>
            </w:r>
          </w:p>
        </w:tc>
      </w:tr>
      <w:tr>
        <w:tc>
          <w:tcPr>
            <w:tcW w:w="12666" w:type="dxa"/>
            <w:gridSpan w:val="8"/>
            <w:shd w:val="clear" w:color="FFFFFF" w:fill="auto"/>
            <w:textDirection w:val="lrTb"/>
            <w:vAlign w:val="bottom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22"/>
                <w:szCs w:val="22"/>
              </w:rPr>
              <w:t>Адрес: РАДИЩЕВА 02/1</w:t>
            </w:r>
          </w:p>
        </w:tc>
      </w:tr>
      <w:tr>
        <w:tc>
          <w:tcPr>
            <w:tcW w:w="12666" w:type="dxa"/>
            <w:gridSpan w:val="8"/>
            <w:shd w:val="clear" w:color="FFFFFF" w:fill="auto"/>
            <w:textDirection w:val="lrTb"/>
            <w:vAlign w:val="bottom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Период: Ноябрь 2016 г.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7429" w:type="dxa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НАКОПИТЕЛЬНЫЙ СЧЕТ НА ЦЕЛЕВЫЕ НУЖДЫ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/>
            </w:r>
          </w:p>
        </w:tc>
        <w:tc>
          <w:tcPr>
            <w:tcW w:w="4108" w:type="dxa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ЦЕЛЕВЫЕ ПЛАТЕЖИ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Входящий баланс на 01.11.2016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12 198,78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Долг на 01.11.2016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-10 448,52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Сумма поступлений на целевые нужды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3 500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Начислено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-3 500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Расходы по целевым нуждам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-3 500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Поступило 100%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3 500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Исходящий баланс на 30.11.2016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12 198,78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Долг на 30.11.2016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-10 448,52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Расходы по целевым нуждам</w:t>
            </w:r>
          </w:p>
        </w:tc>
      </w:tr>
      <w:tr>
        <w:trPr>
          <w:trHeight w:val="90" w:hRule="exact"/>
        </w:trP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Вознаграждение домкома("УК "СЕРВИС-СТК")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3 500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Итого расходов на целевые нужды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3 500</w:t>
            </w:r>
          </w:p>
        </w:tc>
      </w:tr>
    </w:tbl>
  </w:body>
</w:document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</Relationships>
</file>